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C8C3E">
      <w:pPr>
        <w:widowControl/>
        <w:snapToGrid w:val="0"/>
        <w:jc w:val="both"/>
        <w:rPr>
          <w:rFonts w:hint="eastAsia"/>
          <w:b/>
          <w:color w:val="000000"/>
          <w:kern w:val="0"/>
          <w:sz w:val="24"/>
          <w:szCs w:val="21"/>
        </w:rPr>
      </w:pPr>
    </w:p>
    <w:p w14:paraId="01365A35">
      <w:pPr>
        <w:widowControl/>
        <w:shd w:val="clear" w:color="auto" w:fill="FFFFFF"/>
        <w:jc w:val="center"/>
        <w:rPr>
          <w:rFonts w:ascii="微软雅黑" w:hAnsi="微软雅黑" w:eastAsia="宋体" w:cs="宋体"/>
          <w:color w:val="323232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36"/>
          <w:szCs w:val="36"/>
        </w:rPr>
        <w:t>石油工程学院研究生招生考试大纲</w:t>
      </w:r>
    </w:p>
    <w:tbl>
      <w:tblPr>
        <w:tblStyle w:val="7"/>
        <w:tblW w:w="10088" w:type="dxa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088"/>
      </w:tblGrid>
      <w:tr w14:paraId="048FE6C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100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E2FFDD0">
            <w:pPr>
              <w:widowControl/>
              <w:shd w:val="clear" w:color="auto" w:fill="FFFFFF"/>
              <w:jc w:val="center"/>
              <w:rPr>
                <w:rFonts w:hint="eastAsia" w:ascii="微软雅黑" w:hAnsi="微软雅黑" w:eastAsia="宋体" w:cs="宋体"/>
                <w:color w:val="32323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考试科目：</w:t>
            </w:r>
            <w:r>
              <w:rPr>
                <w:rFonts w:ascii="Times New Roman" w:hAnsi="Times New Roman" w:eastAsia="宋体" w:cs="Times New Roman"/>
                <w:color w:val="323232"/>
                <w:kern w:val="0"/>
                <w:sz w:val="28"/>
                <w:szCs w:val="28"/>
              </w:rPr>
              <w:t>8</w:t>
            </w:r>
            <w:r>
              <w:rPr>
                <w:rFonts w:hint="eastAsia" w:cs="Times New Roman"/>
                <w:color w:val="323232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ascii="Times New Roman" w:hAnsi="Times New Roman" w:eastAsia="宋体" w:cs="Times New Roman"/>
                <w:color w:val="323232"/>
                <w:kern w:val="0"/>
                <w:sz w:val="28"/>
                <w:szCs w:val="28"/>
              </w:rPr>
              <w:t>9</w:t>
            </w:r>
            <w:r>
              <w:rPr>
                <w:rFonts w:hint="eastAsia" w:ascii="宋体" w:hAnsi="宋体" w:cs="宋体"/>
                <w:color w:val="323232"/>
                <w:kern w:val="0"/>
                <w:sz w:val="28"/>
                <w:szCs w:val="28"/>
                <w:lang w:val="en-US" w:eastAsia="zh-CN"/>
              </w:rPr>
              <w:t>流体力学（150分）</w:t>
            </w:r>
          </w:p>
          <w:p w14:paraId="214264CF">
            <w:pPr>
              <w:widowControl/>
              <w:adjustRightInd w:val="0"/>
              <w:snapToGrid w:val="0"/>
              <w:jc w:val="left"/>
              <w:rPr>
                <w:rFonts w:ascii="微软雅黑" w:hAnsi="微软雅黑" w:eastAsia="宋体" w:cs="宋体"/>
                <w:color w:val="323232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适用专业：石油与天然气工程（学术型、专业型）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0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8"/>
                <w:szCs w:val="28"/>
              </w:rPr>
              <w:t>油气输送与储存理论与技术</w:t>
            </w:r>
          </w:p>
        </w:tc>
      </w:tr>
      <w:tr w14:paraId="1E8EB09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100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386FD85">
            <w:pPr>
              <w:pStyle w:val="16"/>
              <w:ind w:left="1205" w:hanging="1205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考试大纲</w:t>
            </w:r>
          </w:p>
          <w:p w14:paraId="3C2D300F">
            <w:pP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1基本概念</w:t>
            </w:r>
          </w:p>
          <w:p w14:paraId="3AEA675A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1.1 流体定义及连续介质假设</w:t>
            </w:r>
          </w:p>
          <w:p w14:paraId="77007E1F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1.2 流体的主要力学性质</w:t>
            </w:r>
          </w:p>
          <w:p w14:paraId="0B951A07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1.3 作用在流体上的力</w:t>
            </w:r>
          </w:p>
          <w:p w14:paraId="24D28C58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1.4 流体的分类</w:t>
            </w:r>
          </w:p>
          <w:p w14:paraId="3E4EF33B">
            <w:pP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2流体静力学</w:t>
            </w:r>
          </w:p>
          <w:p w14:paraId="7AFC7DEA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2.1 静压力及其特性</w:t>
            </w:r>
          </w:p>
          <w:p w14:paraId="541282FE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2.2 欧拉平衡微分方程</w:t>
            </w:r>
          </w:p>
          <w:p w14:paraId="232400FF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2.3 重力作用下的流体平衡基本方程及其应用</w:t>
            </w:r>
          </w:p>
          <w:p w14:paraId="4FC813E9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2.4 静止流体作用在平面上的总压力</w:t>
            </w:r>
          </w:p>
          <w:p w14:paraId="59E4BA07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2.5 静止流体作用在曲面上的总压力</w:t>
            </w:r>
          </w:p>
          <w:p w14:paraId="67175BA4">
            <w:pP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3 流体运动学</w:t>
            </w:r>
          </w:p>
          <w:p w14:paraId="15960DE7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3.1 描述流体运动的两种方法</w:t>
            </w:r>
          </w:p>
          <w:p w14:paraId="5CB5DBA2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3.2 流体运动学的基本概念</w:t>
            </w:r>
          </w:p>
          <w:p w14:paraId="26D25A86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3.3 流体微团的运动分析</w:t>
            </w:r>
          </w:p>
          <w:p w14:paraId="63BB6933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3.4流体运动分类</w:t>
            </w:r>
          </w:p>
          <w:p w14:paraId="7B077032">
            <w:pP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4 量纲分析与相似原理</w:t>
            </w:r>
          </w:p>
          <w:p w14:paraId="06AA8512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4.1 量纲分析</w:t>
            </w:r>
          </w:p>
          <w:p w14:paraId="6CDB8E65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4.2 流动相似条件</w:t>
            </w:r>
          </w:p>
          <w:p w14:paraId="5CB58BD6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4.3 相似准则</w:t>
            </w:r>
          </w:p>
          <w:p w14:paraId="2F53B1B6">
            <w:pP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5 流体运动基本方程</w:t>
            </w:r>
          </w:p>
          <w:p w14:paraId="62ED9DCB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5.1 流体连续性方程</w:t>
            </w:r>
          </w:p>
          <w:p w14:paraId="2B2F0847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5.2 理想流体运动微分方程及伯努利方程</w:t>
            </w:r>
          </w:p>
          <w:p w14:paraId="318CD0B4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5.3 不可压缩牛顿流体运动微分方程及应用</w:t>
            </w:r>
          </w:p>
          <w:p w14:paraId="7FD807EC">
            <w:pP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6. 不可压缩恒定总流的基本方程及其应用</w:t>
            </w:r>
          </w:p>
          <w:p w14:paraId="488CDB12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6.1 不可压缩恒定总流的连续性方程</w:t>
            </w:r>
          </w:p>
          <w:p w14:paraId="66346316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6.2 不可压缩恒定总流的伯努利方程</w:t>
            </w:r>
          </w:p>
          <w:p w14:paraId="064B9E3B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6.3 不可压缩恒定总流的动量方程</w:t>
            </w:r>
          </w:p>
          <w:p w14:paraId="60D98C27">
            <w:pP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7. 流动阻力与水头损失</w:t>
            </w:r>
          </w:p>
          <w:p w14:paraId="083A6508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7.1 流动阻力与水头损失的分类</w:t>
            </w:r>
          </w:p>
          <w:p w14:paraId="3D63FDD6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7.2 流体运动的两种流态</w:t>
            </w:r>
          </w:p>
          <w:p w14:paraId="70C172D0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7.3 湍流基本概念</w:t>
            </w:r>
          </w:p>
          <w:p w14:paraId="53F15E6B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7.4 管道流动的沿程阻力系数与水头损失</w:t>
            </w:r>
          </w:p>
          <w:p w14:paraId="6A9076AF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7.5 局部阻力系数</w:t>
            </w:r>
          </w:p>
          <w:p w14:paraId="02EC9DF5">
            <w:pP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8管路</w:t>
            </w:r>
          </w:p>
          <w:bookmarkEnd w:id="0"/>
          <w:p w14:paraId="2E2AC73D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8.1 管路分类</w:t>
            </w:r>
          </w:p>
          <w:p w14:paraId="20A3BD43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8.2 简单管路的水力计算</w:t>
            </w:r>
          </w:p>
          <w:p w14:paraId="1C73D6D6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8.3 复杂管路的水力计算</w:t>
            </w:r>
          </w:p>
          <w:p w14:paraId="1C24FE7C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8.4 管中水击</w:t>
            </w:r>
          </w:p>
          <w:p w14:paraId="4607CD53">
            <w:pPr>
              <w:widowControl/>
              <w:snapToGrid w:val="0"/>
              <w:jc w:val="left"/>
              <w:rPr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参考书目</w:t>
            </w:r>
            <w:r>
              <w:rPr>
                <w:rFonts w:hint="eastAsia"/>
                <w:kern w:val="0"/>
                <w:sz w:val="28"/>
                <w:szCs w:val="28"/>
                <w:highlight w:val="none"/>
              </w:rPr>
              <w:t>：</w:t>
            </w:r>
          </w:p>
          <w:p w14:paraId="47501034">
            <w:pPr>
              <w:pStyle w:val="16"/>
              <w:ind w:left="0" w:firstLine="0" w:firstLineChars="0"/>
              <w:jc w:val="both"/>
              <w:rPr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auto"/>
                <w:sz w:val="28"/>
                <w:szCs w:val="28"/>
              </w:rPr>
              <w:t>《应用流体力学》（第三版），中国石油大学出版社，2023，宇波、杨绪飞、</w:t>
            </w:r>
            <w:r>
              <w:rPr>
                <w:rFonts w:hint="eastAsia"/>
                <w:b w:val="0"/>
                <w:bCs/>
                <w:color w:val="auto"/>
                <w:sz w:val="28"/>
                <w:szCs w:val="28"/>
                <w:lang w:val="en-US" w:eastAsia="zh-CN"/>
              </w:rPr>
              <w:t>孙</w:t>
            </w:r>
            <w:r>
              <w:rPr>
                <w:rFonts w:hint="eastAsia"/>
                <w:b w:val="0"/>
                <w:bCs/>
                <w:color w:val="auto"/>
                <w:sz w:val="28"/>
                <w:szCs w:val="28"/>
              </w:rPr>
              <w:t>旭</w:t>
            </w:r>
            <w:r>
              <w:rPr>
                <w:rFonts w:hint="eastAsia"/>
                <w:b w:val="0"/>
                <w:bCs/>
                <w:color w:val="auto"/>
                <w:sz w:val="28"/>
                <w:szCs w:val="28"/>
                <w:highlight w:val="none"/>
                <w:lang w:eastAsia="zh-CN"/>
              </w:rPr>
              <w:t>主编</w:t>
            </w:r>
            <w:r>
              <w:rPr>
                <w:rFonts w:hint="eastAsia"/>
                <w:b w:val="0"/>
                <w:bCs/>
                <w:color w:val="auto"/>
                <w:sz w:val="28"/>
                <w:szCs w:val="28"/>
              </w:rPr>
              <w:t>；</w:t>
            </w:r>
          </w:p>
          <w:p w14:paraId="0366F9B2">
            <w:pPr>
              <w:pStyle w:val="16"/>
              <w:ind w:left="1050" w:hanging="1050"/>
              <w:rPr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auto"/>
                <w:sz w:val="28"/>
                <w:szCs w:val="28"/>
              </w:rPr>
              <w:t>《工程流体力学》，石油工业出版社，2014（修订），袁恩熙主编；</w:t>
            </w:r>
          </w:p>
          <w:p w14:paraId="538A2301">
            <w:pPr>
              <w:pStyle w:val="16"/>
              <w:ind w:left="0"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auto"/>
                <w:sz w:val="28"/>
                <w:szCs w:val="28"/>
              </w:rPr>
              <w:t>《</w:t>
            </w:r>
            <w:r>
              <w:rPr>
                <w:b w:val="0"/>
                <w:bCs/>
                <w:color w:val="auto"/>
                <w:sz w:val="28"/>
                <w:szCs w:val="28"/>
              </w:rPr>
              <w:t>应用流体力学学习指导与习题精解</w:t>
            </w:r>
            <w:r>
              <w:rPr>
                <w:rFonts w:hint="eastAsia"/>
                <w:b w:val="0"/>
                <w:bCs/>
                <w:color w:val="auto"/>
                <w:sz w:val="28"/>
                <w:szCs w:val="28"/>
              </w:rPr>
              <w:t>》（第二版），</w:t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HYPERLINK "https://www.kongfz.com/publisher/1353/" \t "_blank" </w:instrText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b w:val="0"/>
                <w:bCs/>
                <w:color w:val="auto"/>
                <w:sz w:val="28"/>
                <w:szCs w:val="28"/>
              </w:rPr>
              <w:t>中国石油大学出版社</w:t>
            </w:r>
            <w:r>
              <w:rPr>
                <w:b w:val="0"/>
                <w:bCs/>
                <w:color w:val="auto"/>
                <w:sz w:val="28"/>
                <w:szCs w:val="28"/>
              </w:rPr>
              <w:fldChar w:fldCharType="end"/>
            </w:r>
            <w:r>
              <w:rPr>
                <w:rFonts w:hint="eastAsia"/>
                <w:b w:val="0"/>
                <w:bCs/>
                <w:color w:val="auto"/>
                <w:sz w:val="28"/>
                <w:szCs w:val="28"/>
              </w:rPr>
              <w:t>，2024，孙旭、王艺、王鹏</w:t>
            </w:r>
            <w:r>
              <w:rPr>
                <w:rFonts w:hint="eastAsia"/>
                <w:b w:val="0"/>
                <w:bCs/>
                <w:color w:val="auto"/>
                <w:sz w:val="28"/>
                <w:szCs w:val="28"/>
                <w:highlight w:val="none"/>
                <w:lang w:eastAsia="zh-CN"/>
              </w:rPr>
              <w:t>主编</w:t>
            </w:r>
            <w:r>
              <w:rPr>
                <w:rFonts w:hint="eastAsia"/>
                <w:b w:val="0"/>
                <w:bCs/>
                <w:color w:val="auto"/>
                <w:sz w:val="28"/>
                <w:szCs w:val="28"/>
              </w:rPr>
              <w:t>。</w:t>
            </w:r>
          </w:p>
        </w:tc>
      </w:tr>
    </w:tbl>
    <w:p w14:paraId="799AC4BE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lkNzQ2MzVjYThjODg4OGM1MDEyNjJjNmY3ZjE0M2EifQ=="/>
  </w:docVars>
  <w:rsids>
    <w:rsidRoot w:val="00B64BF3"/>
    <w:rsid w:val="00005F3E"/>
    <w:rsid w:val="0001204A"/>
    <w:rsid w:val="00030258"/>
    <w:rsid w:val="000342A2"/>
    <w:rsid w:val="00042385"/>
    <w:rsid w:val="000462CF"/>
    <w:rsid w:val="000835E8"/>
    <w:rsid w:val="00083960"/>
    <w:rsid w:val="000B0623"/>
    <w:rsid w:val="000B5603"/>
    <w:rsid w:val="000C307B"/>
    <w:rsid w:val="000D0E3A"/>
    <w:rsid w:val="000E0481"/>
    <w:rsid w:val="00140A23"/>
    <w:rsid w:val="00160D86"/>
    <w:rsid w:val="001703D7"/>
    <w:rsid w:val="00172CC6"/>
    <w:rsid w:val="00192FDE"/>
    <w:rsid w:val="00196F8D"/>
    <w:rsid w:val="001A049A"/>
    <w:rsid w:val="001A469C"/>
    <w:rsid w:val="001C4585"/>
    <w:rsid w:val="001E3BC0"/>
    <w:rsid w:val="001F5A98"/>
    <w:rsid w:val="002019C8"/>
    <w:rsid w:val="00205D70"/>
    <w:rsid w:val="00205ED5"/>
    <w:rsid w:val="002311E5"/>
    <w:rsid w:val="00234324"/>
    <w:rsid w:val="0025140A"/>
    <w:rsid w:val="00260AE2"/>
    <w:rsid w:val="00263B9F"/>
    <w:rsid w:val="002714B5"/>
    <w:rsid w:val="00275CA9"/>
    <w:rsid w:val="00276FD7"/>
    <w:rsid w:val="002A3154"/>
    <w:rsid w:val="002B5329"/>
    <w:rsid w:val="002E3314"/>
    <w:rsid w:val="002E5923"/>
    <w:rsid w:val="002F0A3E"/>
    <w:rsid w:val="00310408"/>
    <w:rsid w:val="00315543"/>
    <w:rsid w:val="003530C5"/>
    <w:rsid w:val="0038198C"/>
    <w:rsid w:val="00383DF1"/>
    <w:rsid w:val="0039506B"/>
    <w:rsid w:val="003A2157"/>
    <w:rsid w:val="003A4F1A"/>
    <w:rsid w:val="003C0057"/>
    <w:rsid w:val="003D68B2"/>
    <w:rsid w:val="00401DEE"/>
    <w:rsid w:val="004058E5"/>
    <w:rsid w:val="004075B8"/>
    <w:rsid w:val="00412AAF"/>
    <w:rsid w:val="00413056"/>
    <w:rsid w:val="00431EBE"/>
    <w:rsid w:val="00451CD4"/>
    <w:rsid w:val="0048652E"/>
    <w:rsid w:val="00486EB0"/>
    <w:rsid w:val="004877C9"/>
    <w:rsid w:val="00490E73"/>
    <w:rsid w:val="004916E5"/>
    <w:rsid w:val="00492B0A"/>
    <w:rsid w:val="00496727"/>
    <w:rsid w:val="004F30AB"/>
    <w:rsid w:val="0050132F"/>
    <w:rsid w:val="00510D65"/>
    <w:rsid w:val="005113FA"/>
    <w:rsid w:val="00511B9E"/>
    <w:rsid w:val="00526B70"/>
    <w:rsid w:val="00537527"/>
    <w:rsid w:val="005407F6"/>
    <w:rsid w:val="00543F68"/>
    <w:rsid w:val="005735AD"/>
    <w:rsid w:val="005770ED"/>
    <w:rsid w:val="005B78F2"/>
    <w:rsid w:val="005D4B7B"/>
    <w:rsid w:val="005D71A4"/>
    <w:rsid w:val="00613CC4"/>
    <w:rsid w:val="00622151"/>
    <w:rsid w:val="00624CA6"/>
    <w:rsid w:val="00630253"/>
    <w:rsid w:val="00633313"/>
    <w:rsid w:val="0063676C"/>
    <w:rsid w:val="006523AD"/>
    <w:rsid w:val="0065511F"/>
    <w:rsid w:val="00663D63"/>
    <w:rsid w:val="00693135"/>
    <w:rsid w:val="006C5A7D"/>
    <w:rsid w:val="006D144F"/>
    <w:rsid w:val="006F38E5"/>
    <w:rsid w:val="006F7D55"/>
    <w:rsid w:val="00702215"/>
    <w:rsid w:val="00753A37"/>
    <w:rsid w:val="0077502D"/>
    <w:rsid w:val="0079375B"/>
    <w:rsid w:val="007A5CB5"/>
    <w:rsid w:val="007B4508"/>
    <w:rsid w:val="007C703E"/>
    <w:rsid w:val="007E276C"/>
    <w:rsid w:val="00802D01"/>
    <w:rsid w:val="00813AEA"/>
    <w:rsid w:val="00822752"/>
    <w:rsid w:val="008319E4"/>
    <w:rsid w:val="008453D7"/>
    <w:rsid w:val="0086769B"/>
    <w:rsid w:val="008B6100"/>
    <w:rsid w:val="008C2A3D"/>
    <w:rsid w:val="008D14C9"/>
    <w:rsid w:val="008F53C2"/>
    <w:rsid w:val="009214A3"/>
    <w:rsid w:val="0092359C"/>
    <w:rsid w:val="00932615"/>
    <w:rsid w:val="00946A88"/>
    <w:rsid w:val="00971E37"/>
    <w:rsid w:val="009C03D0"/>
    <w:rsid w:val="009C7F7B"/>
    <w:rsid w:val="00A02B90"/>
    <w:rsid w:val="00A202E2"/>
    <w:rsid w:val="00A20BFD"/>
    <w:rsid w:val="00A379C2"/>
    <w:rsid w:val="00A41FAF"/>
    <w:rsid w:val="00A56B05"/>
    <w:rsid w:val="00A572F7"/>
    <w:rsid w:val="00A61FE1"/>
    <w:rsid w:val="00A627B6"/>
    <w:rsid w:val="00A90858"/>
    <w:rsid w:val="00AA1496"/>
    <w:rsid w:val="00AC5C0B"/>
    <w:rsid w:val="00AD4CAD"/>
    <w:rsid w:val="00AD56DA"/>
    <w:rsid w:val="00AE74C4"/>
    <w:rsid w:val="00AF014C"/>
    <w:rsid w:val="00AF35C3"/>
    <w:rsid w:val="00B006A1"/>
    <w:rsid w:val="00B07F8D"/>
    <w:rsid w:val="00B575F9"/>
    <w:rsid w:val="00B64BF3"/>
    <w:rsid w:val="00B77DB9"/>
    <w:rsid w:val="00BA390C"/>
    <w:rsid w:val="00BB4D69"/>
    <w:rsid w:val="00BB7CFA"/>
    <w:rsid w:val="00BD342A"/>
    <w:rsid w:val="00BF0AD6"/>
    <w:rsid w:val="00BF4BC4"/>
    <w:rsid w:val="00BF756C"/>
    <w:rsid w:val="00C0081F"/>
    <w:rsid w:val="00C2022E"/>
    <w:rsid w:val="00C20464"/>
    <w:rsid w:val="00C2160B"/>
    <w:rsid w:val="00C23144"/>
    <w:rsid w:val="00C34D83"/>
    <w:rsid w:val="00C3795B"/>
    <w:rsid w:val="00C40786"/>
    <w:rsid w:val="00C4244F"/>
    <w:rsid w:val="00C52821"/>
    <w:rsid w:val="00C5683F"/>
    <w:rsid w:val="00C56BF1"/>
    <w:rsid w:val="00CA58D9"/>
    <w:rsid w:val="00CE4D36"/>
    <w:rsid w:val="00CF4374"/>
    <w:rsid w:val="00CF776A"/>
    <w:rsid w:val="00D221C4"/>
    <w:rsid w:val="00D24C81"/>
    <w:rsid w:val="00D428C4"/>
    <w:rsid w:val="00D46AF4"/>
    <w:rsid w:val="00D56F60"/>
    <w:rsid w:val="00D5791C"/>
    <w:rsid w:val="00D6374D"/>
    <w:rsid w:val="00D639FB"/>
    <w:rsid w:val="00DA2F8E"/>
    <w:rsid w:val="00DC3676"/>
    <w:rsid w:val="00DE1F67"/>
    <w:rsid w:val="00E12E55"/>
    <w:rsid w:val="00E21FD5"/>
    <w:rsid w:val="00E24762"/>
    <w:rsid w:val="00E35262"/>
    <w:rsid w:val="00E44C5B"/>
    <w:rsid w:val="00EA4470"/>
    <w:rsid w:val="00EA5B5B"/>
    <w:rsid w:val="00EE4F33"/>
    <w:rsid w:val="00EF3BB3"/>
    <w:rsid w:val="00F02FF1"/>
    <w:rsid w:val="00F06A3C"/>
    <w:rsid w:val="00F42275"/>
    <w:rsid w:val="00F67684"/>
    <w:rsid w:val="00F763D2"/>
    <w:rsid w:val="00F9025C"/>
    <w:rsid w:val="00F94E39"/>
    <w:rsid w:val="00F963EA"/>
    <w:rsid w:val="00FC2CC7"/>
    <w:rsid w:val="00FD479E"/>
    <w:rsid w:val="00FF561D"/>
    <w:rsid w:val="00FF61C7"/>
    <w:rsid w:val="0316787B"/>
    <w:rsid w:val="0464394D"/>
    <w:rsid w:val="09663397"/>
    <w:rsid w:val="0DAD7251"/>
    <w:rsid w:val="0DC174AC"/>
    <w:rsid w:val="11415E35"/>
    <w:rsid w:val="12472CD6"/>
    <w:rsid w:val="1D1A76CF"/>
    <w:rsid w:val="20B336F3"/>
    <w:rsid w:val="23B45FAC"/>
    <w:rsid w:val="2478310F"/>
    <w:rsid w:val="250E5C42"/>
    <w:rsid w:val="27472604"/>
    <w:rsid w:val="2CA60132"/>
    <w:rsid w:val="368247FA"/>
    <w:rsid w:val="45C27C01"/>
    <w:rsid w:val="4C0142C3"/>
    <w:rsid w:val="6D7E425F"/>
    <w:rsid w:val="6FC66971"/>
    <w:rsid w:val="7969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qFormat/>
    <w:uiPriority w:val="0"/>
    <w:pPr>
      <w:jc w:val="left"/>
    </w:p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uiPriority w:val="0"/>
    <w:rPr>
      <w:b/>
      <w:bCs/>
    </w:rPr>
  </w:style>
  <w:style w:type="character" w:styleId="9">
    <w:name w:val="annotation reference"/>
    <w:qFormat/>
    <w:uiPriority w:val="0"/>
    <w:rPr>
      <w:sz w:val="21"/>
      <w:szCs w:val="21"/>
    </w:rPr>
  </w:style>
  <w:style w:type="character" w:customStyle="1" w:styleId="10">
    <w:name w:val="批注文字 字符"/>
    <w:link w:val="2"/>
    <w:qFormat/>
    <w:uiPriority w:val="0"/>
    <w:rPr>
      <w:kern w:val="2"/>
      <w:sz w:val="21"/>
      <w:szCs w:val="24"/>
    </w:rPr>
  </w:style>
  <w:style w:type="character" w:customStyle="1" w:styleId="11">
    <w:name w:val="批注框文本 字符"/>
    <w:link w:val="3"/>
    <w:qFormat/>
    <w:uiPriority w:val="0"/>
    <w:rPr>
      <w:kern w:val="2"/>
      <w:sz w:val="18"/>
      <w:szCs w:val="18"/>
    </w:rPr>
  </w:style>
  <w:style w:type="character" w:customStyle="1" w:styleId="12">
    <w:name w:val="页脚 字符"/>
    <w:link w:val="4"/>
    <w:qFormat/>
    <w:uiPriority w:val="0"/>
    <w:rPr>
      <w:kern w:val="2"/>
      <w:sz w:val="18"/>
      <w:szCs w:val="18"/>
    </w:rPr>
  </w:style>
  <w:style w:type="character" w:customStyle="1" w:styleId="13">
    <w:name w:val="页眉 字符"/>
    <w:link w:val="5"/>
    <w:qFormat/>
    <w:uiPriority w:val="0"/>
    <w:rPr>
      <w:kern w:val="2"/>
      <w:sz w:val="18"/>
      <w:szCs w:val="18"/>
    </w:rPr>
  </w:style>
  <w:style w:type="character" w:customStyle="1" w:styleId="14">
    <w:name w:val="批注主题 字符"/>
    <w:link w:val="6"/>
    <w:qFormat/>
    <w:uiPriority w:val="0"/>
    <w:rPr>
      <w:b/>
      <w:bCs/>
      <w:kern w:val="2"/>
      <w:sz w:val="21"/>
      <w:szCs w:val="24"/>
    </w:rPr>
  </w:style>
  <w:style w:type="character" w:customStyle="1" w:styleId="15">
    <w:name w:val="wepnpfr1"/>
    <w:qFormat/>
    <w:uiPriority w:val="0"/>
    <w:rPr>
      <w:color w:val="F2F2F2"/>
    </w:rPr>
  </w:style>
  <w:style w:type="paragraph" w:customStyle="1" w:styleId="16">
    <w:name w:val="正文 + 黑色"/>
    <w:basedOn w:val="1"/>
    <w:qFormat/>
    <w:uiPriority w:val="0"/>
    <w:pPr>
      <w:widowControl/>
      <w:snapToGrid w:val="0"/>
      <w:ind w:left="1054" w:hanging="1054" w:hangingChars="500"/>
      <w:jc w:val="left"/>
    </w:pPr>
    <w:rPr>
      <w:b/>
      <w:color w:val="000000"/>
      <w:kern w:val="0"/>
      <w:szCs w:val="21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3</Pages>
  <Words>582</Words>
  <Characters>666</Characters>
  <Lines>5</Lines>
  <Paragraphs>1</Paragraphs>
  <TotalTime>15</TotalTime>
  <ScaleCrop>false</ScaleCrop>
  <LinksUpToDate>false</LinksUpToDate>
  <CharactersWithSpaces>703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2025-05-07T06:25:00Z</dcterms:created>
  <dc:creator>jd</dc:creator>
  <cp:lastModifiedBy>丁雪莎</cp:lastModifiedBy>
  <dcterms:modified xsi:type="dcterms:W3CDTF">2026-09-29T06:48:05Z</dcterms:modified>
  <dc:title>http://jdxy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898B2D323C5B487DB0863463C26E395F_13</vt:lpwstr>
  </property>
  <property fmtid="{D5CDD505-2E9C-101B-9397-08002B2CF9AE}" pid="4" name="KSOTemplateDocerSaveRecord">
    <vt:lpwstr>eyJoZGlkIjoiMzFiOWI1NjBmMzNjZTQwYmNlNGM1OTMyZjgyOTIyM2UiLCJ1c2VySWQiOiIxNjU5OTQwODc1In0=</vt:lpwstr>
  </property>
</Properties>
</file>