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A20C1">
      <w:pPr>
        <w:spacing w:line="220" w:lineRule="atLeast"/>
        <w:jc w:val="center"/>
        <w:rPr>
          <w:rFonts w:ascii="Times New Roman" w:hAnsi="Times New Roman" w:eastAsia="黑体" w:cs="Times New Roman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6"/>
          <w:szCs w:val="36"/>
        </w:rPr>
        <w:t>鄂尔多斯南部X</w:t>
      </w:r>
      <w:r>
        <w:rPr>
          <w:rFonts w:ascii="Times New Roman" w:hAnsi="Times New Roman" w:eastAsia="黑体" w:cs="Times New Roman"/>
          <w:sz w:val="36"/>
          <w:szCs w:val="36"/>
        </w:rPr>
        <w:t>XXXXXXXX</w:t>
      </w:r>
    </w:p>
    <w:p w14:paraId="364763DB">
      <w:pPr>
        <w:spacing w:line="220" w:lineRule="atLeast"/>
        <w:rPr>
          <w:rFonts w:ascii="Times New Roman" w:hAnsi="Times New Roman" w:eastAsiaTheme="minorEastAsia"/>
          <w:b/>
          <w:sz w:val="24"/>
          <w:szCs w:val="36"/>
        </w:rPr>
      </w:pPr>
      <w:r>
        <w:rPr>
          <w:rFonts w:hint="eastAsia" w:ascii="Times New Roman" w:hAnsi="Times New Roman" w:eastAsiaTheme="minorEastAsia"/>
          <w:b/>
          <w:sz w:val="24"/>
          <w:szCs w:val="36"/>
        </w:rPr>
        <w:t>姓名：X</w:t>
      </w:r>
      <w:r>
        <w:rPr>
          <w:rFonts w:ascii="Times New Roman" w:hAnsi="Times New Roman" w:eastAsiaTheme="minorEastAsia"/>
          <w:b/>
          <w:sz w:val="24"/>
          <w:szCs w:val="36"/>
        </w:rPr>
        <w:t>X</w:t>
      </w:r>
      <w:r>
        <w:rPr>
          <w:rFonts w:hint="eastAsia" w:ascii="Times New Roman" w:hAnsi="Times New Roman" w:eastAsiaTheme="minorEastAsia"/>
          <w:b/>
          <w:sz w:val="24"/>
          <w:szCs w:val="36"/>
        </w:rPr>
        <w:t xml:space="preserve"> </w:t>
      </w:r>
      <w:r>
        <w:rPr>
          <w:rFonts w:ascii="Times New Roman" w:hAnsi="Times New Roman" w:eastAsiaTheme="minorEastAsia"/>
          <w:b/>
          <w:sz w:val="24"/>
          <w:szCs w:val="36"/>
        </w:rPr>
        <w:t xml:space="preserve">  </w:t>
      </w:r>
      <w:r>
        <w:rPr>
          <w:rFonts w:hint="eastAsia" w:ascii="Times New Roman" w:hAnsi="Times New Roman" w:eastAsiaTheme="minorEastAsia"/>
          <w:b/>
          <w:sz w:val="24"/>
          <w:szCs w:val="36"/>
        </w:rPr>
        <w:t>学院：X</w:t>
      </w:r>
      <w:r>
        <w:rPr>
          <w:rFonts w:ascii="Times New Roman" w:hAnsi="Times New Roman" w:eastAsiaTheme="minorEastAsia"/>
          <w:b/>
          <w:sz w:val="24"/>
          <w:szCs w:val="36"/>
        </w:rPr>
        <w:t>XXX</w:t>
      </w:r>
      <w:r>
        <w:rPr>
          <w:rFonts w:hint="eastAsia" w:ascii="Times New Roman" w:hAnsi="Times New Roman" w:eastAsiaTheme="minorEastAsia"/>
          <w:b/>
          <w:sz w:val="24"/>
          <w:szCs w:val="36"/>
        </w:rPr>
        <w:t xml:space="preserve">学院 </w:t>
      </w:r>
      <w:r>
        <w:rPr>
          <w:rFonts w:ascii="Times New Roman" w:hAnsi="Times New Roman" w:eastAsiaTheme="minorEastAsia"/>
          <w:b/>
          <w:sz w:val="24"/>
          <w:szCs w:val="36"/>
        </w:rPr>
        <w:t xml:space="preserve">  </w:t>
      </w:r>
      <w:r>
        <w:rPr>
          <w:rFonts w:hint="eastAsia" w:ascii="Times New Roman" w:hAnsi="Times New Roman" w:eastAsiaTheme="minorEastAsia"/>
          <w:b/>
          <w:sz w:val="24"/>
          <w:szCs w:val="36"/>
        </w:rPr>
        <w:t>专业：X</w:t>
      </w:r>
      <w:r>
        <w:rPr>
          <w:rFonts w:ascii="Times New Roman" w:hAnsi="Times New Roman" w:eastAsiaTheme="minorEastAsia"/>
          <w:b/>
          <w:sz w:val="24"/>
          <w:szCs w:val="36"/>
        </w:rPr>
        <w:t>XXXX</w:t>
      </w:r>
      <w:r>
        <w:rPr>
          <w:rFonts w:hint="eastAsia" w:ascii="Times New Roman" w:hAnsi="Times New Roman" w:eastAsiaTheme="minorEastAsia"/>
          <w:b/>
          <w:sz w:val="24"/>
          <w:szCs w:val="36"/>
        </w:rPr>
        <w:t xml:space="preserve"> </w:t>
      </w:r>
      <w:r>
        <w:rPr>
          <w:rFonts w:ascii="Times New Roman" w:hAnsi="Times New Roman" w:eastAsiaTheme="minorEastAsia"/>
          <w:b/>
          <w:sz w:val="24"/>
          <w:szCs w:val="36"/>
        </w:rPr>
        <w:t xml:space="preserve">  </w:t>
      </w:r>
      <w:r>
        <w:rPr>
          <w:rFonts w:hint="eastAsia" w:ascii="Times New Roman" w:hAnsi="Times New Roman" w:eastAsiaTheme="minorEastAsia"/>
          <w:b/>
          <w:sz w:val="24"/>
          <w:szCs w:val="36"/>
        </w:rPr>
        <w:t>学号：X</w:t>
      </w:r>
      <w:r>
        <w:rPr>
          <w:rFonts w:ascii="Times New Roman" w:hAnsi="Times New Roman" w:eastAsiaTheme="minorEastAsia"/>
          <w:b/>
          <w:sz w:val="24"/>
          <w:szCs w:val="36"/>
        </w:rPr>
        <w:t>X</w:t>
      </w:r>
    </w:p>
    <w:p w14:paraId="6BCE96EE">
      <w:pPr>
        <w:spacing w:line="220" w:lineRule="atLeas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摘要</w:t>
      </w:r>
    </w:p>
    <w:p w14:paraId="6F812883">
      <w:pPr>
        <w:spacing w:after="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鄂南探区长7泥、页岩均有发育，页岩油勘探工作尚处于资源评价的起步阶段，探区内泥岩和页岩在含油性、地球化学特征及形成环境是否存差异尚不清楚，这直接影响了鄂南地区长7页岩油的勘探方向，因此亟待开展相关工作。</w:t>
      </w:r>
    </w:p>
    <w:p w14:paraId="48FC13C3">
      <w:pPr>
        <w:spacing w:after="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论文根据前人样品分析资料及补充部分分析测试结果，分析了研究区长7暗色泥岩和黑色页岩的地球化学特征、生烃潜力，揭示形成页岩气的有效烃源岩层段。综合利用地质、地球化学和地球物理等多学科相结合的研究方法，分析了有效页岩的分布特征，主要根据烃源岩生物标志物特征分析其形成环境。来明确鄂南长7泥、页岩的含油性、地球化学特征及形成环境，从而为该区资源评价工作奠定基础，以便为勘探方向的选择提供依据。</w:t>
      </w:r>
    </w:p>
    <w:p w14:paraId="098F0885">
      <w:pPr>
        <w:spacing w:after="0" w:line="300" w:lineRule="auto"/>
        <w:jc w:val="both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关键词：</w:t>
      </w:r>
      <w:r>
        <w:rPr>
          <w:rFonts w:hint="eastAsia" w:ascii="Times New Roman" w:hAnsi="Times New Roman" w:eastAsia="宋体" w:cs="Times New Roman"/>
          <w:sz w:val="24"/>
          <w:szCs w:val="28"/>
        </w:rPr>
        <w:t>泥页岩；X</w:t>
      </w:r>
      <w:r>
        <w:rPr>
          <w:rFonts w:ascii="Times New Roman" w:hAnsi="Times New Roman" w:eastAsia="宋体" w:cs="Times New Roman"/>
          <w:sz w:val="24"/>
          <w:szCs w:val="28"/>
        </w:rPr>
        <w:t>XX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  <w:r>
        <w:rPr>
          <w:rFonts w:ascii="Times New Roman" w:hAnsi="Times New Roman" w:eastAsia="宋体" w:cs="Times New Roman"/>
          <w:sz w:val="24"/>
          <w:szCs w:val="28"/>
        </w:rPr>
        <w:t>XXX</w:t>
      </w:r>
      <w:r>
        <w:rPr>
          <w:rFonts w:hint="eastAsia" w:ascii="Times New Roman" w:hAnsi="Times New Roman" w:eastAsia="宋体" w:cs="Times New Roman"/>
          <w:sz w:val="24"/>
          <w:szCs w:val="28"/>
        </w:rPr>
        <w:t>；</w:t>
      </w:r>
    </w:p>
    <w:p w14:paraId="4F468047">
      <w:pPr>
        <w:spacing w:after="0" w:line="300" w:lineRule="auto"/>
        <w:jc w:val="both"/>
        <w:rPr>
          <w:rFonts w:ascii="Times New Roman" w:hAnsi="Times New Roman" w:eastAsia="宋体" w:cs="Times New Roman"/>
          <w:sz w:val="24"/>
          <w:szCs w:val="28"/>
        </w:rPr>
      </w:pPr>
    </w:p>
    <w:p w14:paraId="5EB3F2D7">
      <w:pPr>
        <w:spacing w:after="0" w:line="300" w:lineRule="auto"/>
        <w:rPr>
          <w:rFonts w:ascii="Times New Roman" w:hAnsi="Times New Roman" w:eastAsia="黑体"/>
          <w:sz w:val="28"/>
          <w:szCs w:val="36"/>
        </w:rPr>
      </w:pPr>
      <w:r>
        <w:rPr>
          <w:rFonts w:hint="eastAsia" w:ascii="Times New Roman" w:hAnsi="Times New Roman" w:eastAsia="黑体"/>
          <w:sz w:val="28"/>
          <w:szCs w:val="36"/>
        </w:rPr>
        <w:t>参考文献：</w:t>
      </w:r>
    </w:p>
    <w:p w14:paraId="38781426">
      <w:pPr>
        <w:spacing w:after="0" w:line="300" w:lineRule="auto"/>
        <w:rPr>
          <w:rFonts w:ascii="Times New Roman" w:hAnsi="Times New Roman" w:cs="Times New Roman" w:eastAsiaTheme="minorEastAsia"/>
          <w:sz w:val="21"/>
          <w:szCs w:val="21"/>
        </w:rPr>
      </w:pPr>
      <w:r>
        <w:rPr>
          <w:rFonts w:ascii="Times New Roman" w:hAnsi="Times New Roman" w:cs="Times New Roman" w:eastAsiaTheme="minorEastAsia"/>
          <w:sz w:val="21"/>
          <w:szCs w:val="21"/>
        </w:rPr>
        <w:t>[1] 曾少华.陕北三叠系延长统湖盆三角洲沉积模式的建立[J].石油与天然气地质,1992,13(2):229-235.</w:t>
      </w:r>
    </w:p>
    <w:p w14:paraId="71A9BAD0">
      <w:pPr>
        <w:spacing w:after="0" w:line="300" w:lineRule="auto"/>
        <w:jc w:val="both"/>
        <w:rPr>
          <w:rFonts w:ascii="Times New Roman" w:hAnsi="Times New Roman" w:eastAsiaTheme="minorEastAsia"/>
          <w:sz w:val="24"/>
          <w:szCs w:val="36"/>
        </w:rPr>
      </w:pPr>
      <w:r>
        <w:rPr>
          <w:rFonts w:ascii="Times New Roman" w:hAnsi="Times New Roman" w:cs="Times New Roman" w:eastAsiaTheme="minorEastAsia"/>
          <w:sz w:val="21"/>
          <w:szCs w:val="21"/>
        </w:rPr>
        <w:t>[2] 陈祥, 王敏, 严永新, 等. 泌阳凹陷陆相页岩油气成藏条件[J]. 石油与天然气地质, 2011, 32(4): 568–576.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4B1C88"/>
    <w:rsid w:val="00546327"/>
    <w:rsid w:val="00694B3E"/>
    <w:rsid w:val="008B7726"/>
    <w:rsid w:val="00B94F4C"/>
    <w:rsid w:val="00D31D50"/>
    <w:rsid w:val="00D6319C"/>
    <w:rsid w:val="00D71143"/>
    <w:rsid w:val="07F8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479</Characters>
  <Lines>3</Lines>
  <Paragraphs>1</Paragraphs>
  <TotalTime>8</TotalTime>
  <ScaleCrop>false</ScaleCrop>
  <LinksUpToDate>false</LinksUpToDate>
  <CharactersWithSpaces>498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2008-09-11T17:20:00Z</dcterms:created>
  <dcterms:modified xsi:type="dcterms:W3CDTF">2025-03-25T07:29:11Z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276F004377484C24869DBB64EED677AF_13</vt:lpwstr>
  </property>
</Properties>
</file>