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332" w:rsidRDefault="001E4332" w:rsidP="001E4332">
      <w:pPr>
        <w:widowControl/>
        <w:snapToGrid w:val="0"/>
        <w:spacing w:line="360" w:lineRule="auto"/>
        <w:ind w:firstLine="420"/>
        <w:jc w:val="center"/>
        <w:rPr>
          <w:rFonts w:ascii="宋体" w:hAnsi="宋体"/>
          <w:kern w:val="0"/>
        </w:rPr>
      </w:pPr>
      <w:r>
        <w:rPr>
          <w:noProof/>
        </w:rPr>
        <w:drawing>
          <wp:inline distT="0" distB="0" distL="0" distR="0" wp14:anchorId="20FEAFEC" wp14:editId="65AFABDA">
            <wp:extent cx="3360420" cy="697897"/>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00970" cy="706318"/>
                    </a:xfrm>
                    <a:prstGeom prst="rect">
                      <a:avLst/>
                    </a:prstGeom>
                  </pic:spPr>
                </pic:pic>
              </a:graphicData>
            </a:graphic>
          </wp:inline>
        </w:drawing>
      </w:r>
    </w:p>
    <w:p w:rsidR="001E4332" w:rsidRPr="00AE2EC7" w:rsidRDefault="001E4332" w:rsidP="001E4332">
      <w:pPr>
        <w:widowControl/>
        <w:snapToGrid w:val="0"/>
        <w:spacing w:line="360" w:lineRule="auto"/>
        <w:ind w:firstLine="420"/>
        <w:rPr>
          <w:rFonts w:ascii="宋体" w:hAnsi="宋体"/>
          <w:color w:val="C00000"/>
          <w:kern w:val="0"/>
          <w:sz w:val="52"/>
          <w:szCs w:val="52"/>
        </w:rPr>
      </w:pPr>
      <w:r w:rsidRPr="00AE2EC7">
        <w:rPr>
          <w:rFonts w:ascii="宋体" w:hAnsi="宋体" w:hint="eastAsia"/>
          <w:color w:val="C00000"/>
          <w:kern w:val="0"/>
          <w:sz w:val="52"/>
          <w:szCs w:val="52"/>
        </w:rPr>
        <w:t>非常规油气科学技术研究院文件</w:t>
      </w:r>
    </w:p>
    <w:tbl>
      <w:tblPr>
        <w:tblStyle w:val="a5"/>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1E4332" w:rsidTr="00E30AF2">
        <w:tc>
          <w:tcPr>
            <w:tcW w:w="8522" w:type="dxa"/>
            <w:tcBorders>
              <w:bottom w:val="single" w:sz="18" w:space="0" w:color="C00000"/>
            </w:tcBorders>
          </w:tcPr>
          <w:p w:rsidR="001E4332" w:rsidRPr="00AE2EC7" w:rsidRDefault="001E4332" w:rsidP="00E30AF2">
            <w:pPr>
              <w:widowControl/>
              <w:snapToGrid w:val="0"/>
              <w:spacing w:line="360" w:lineRule="auto"/>
              <w:jc w:val="center"/>
            </w:pPr>
            <w:r>
              <w:rPr>
                <w:rFonts w:ascii="宋体" w:hAnsi="宋体" w:hint="eastAsia"/>
                <w:kern w:val="0"/>
              </w:rPr>
              <w:t>中石大</w:t>
            </w:r>
            <w:proofErr w:type="gramStart"/>
            <w:r>
              <w:rPr>
                <w:rFonts w:ascii="宋体" w:hAnsi="宋体" w:hint="eastAsia"/>
                <w:kern w:val="0"/>
              </w:rPr>
              <w:t>京非常规研</w:t>
            </w:r>
            <w:proofErr w:type="gramEnd"/>
            <w:r>
              <w:rPr>
                <w:rFonts w:ascii="宋体" w:hAnsi="宋体" w:hint="eastAsia"/>
                <w:kern w:val="0"/>
              </w:rPr>
              <w:t>实验室</w:t>
            </w:r>
            <w:r>
              <w:t>〔</w:t>
            </w:r>
            <w:r>
              <w:t>2019</w:t>
            </w:r>
            <w:r>
              <w:t>〕</w:t>
            </w:r>
            <w:r w:rsidR="0099548E">
              <w:rPr>
                <w:rFonts w:hint="eastAsia"/>
              </w:rPr>
              <w:t>6</w:t>
            </w:r>
            <w:r w:rsidR="00CB2467">
              <w:rPr>
                <w:rFonts w:hint="eastAsia"/>
              </w:rPr>
              <w:t xml:space="preserve"> </w:t>
            </w:r>
            <w:r>
              <w:t>号</w:t>
            </w:r>
          </w:p>
        </w:tc>
      </w:tr>
    </w:tbl>
    <w:p w:rsidR="001E4332" w:rsidRDefault="001E4332" w:rsidP="001E4332">
      <w:pPr>
        <w:widowControl/>
        <w:snapToGrid w:val="0"/>
        <w:spacing w:line="360" w:lineRule="auto"/>
        <w:ind w:firstLine="420"/>
        <w:jc w:val="center"/>
        <w:rPr>
          <w:rFonts w:ascii="宋体" w:hAnsi="宋体"/>
          <w:kern w:val="0"/>
        </w:rPr>
      </w:pPr>
    </w:p>
    <w:p w:rsidR="0099548E" w:rsidRPr="0099548E" w:rsidRDefault="0099548E" w:rsidP="0099548E">
      <w:pPr>
        <w:jc w:val="center"/>
        <w:rPr>
          <w:rFonts w:asciiTheme="minorEastAsia" w:eastAsiaTheme="minorEastAsia" w:hAnsiTheme="minorEastAsia"/>
          <w:b/>
          <w:sz w:val="28"/>
          <w:szCs w:val="28"/>
        </w:rPr>
      </w:pPr>
      <w:bookmarkStart w:id="0" w:name="_GoBack"/>
      <w:r w:rsidRPr="0099548E">
        <w:rPr>
          <w:rFonts w:asciiTheme="minorEastAsia" w:eastAsiaTheme="minorEastAsia" w:hAnsiTheme="minorEastAsia" w:hint="eastAsia"/>
          <w:b/>
          <w:sz w:val="28"/>
          <w:szCs w:val="28"/>
        </w:rPr>
        <w:t>实验室仪器设备使用管理条例</w:t>
      </w:r>
    </w:p>
    <w:bookmarkEnd w:id="0"/>
    <w:p w:rsidR="0099548E" w:rsidRPr="0099548E" w:rsidRDefault="0099548E" w:rsidP="0099548E">
      <w:pPr>
        <w:pStyle w:val="a6"/>
        <w:spacing w:line="360" w:lineRule="auto"/>
        <w:ind w:firstLine="560"/>
        <w:rPr>
          <w:rFonts w:asciiTheme="minorEastAsia" w:eastAsiaTheme="minorEastAsia" w:hAnsiTheme="minorEastAsia"/>
          <w:sz w:val="28"/>
          <w:szCs w:val="28"/>
        </w:rPr>
      </w:pPr>
      <w:r w:rsidRPr="0099548E">
        <w:rPr>
          <w:rFonts w:asciiTheme="minorEastAsia" w:eastAsiaTheme="minorEastAsia" w:hAnsiTheme="minorEastAsia" w:hint="eastAsia"/>
          <w:sz w:val="28"/>
          <w:szCs w:val="28"/>
        </w:rPr>
        <w:t>第一条 为了更好地为科研服务，提高采收率研究院将加强实验平台建设，提高大型精密仪器的使用效益。</w:t>
      </w:r>
    </w:p>
    <w:p w:rsidR="0099548E" w:rsidRPr="0099548E" w:rsidRDefault="0099548E" w:rsidP="0099548E">
      <w:pPr>
        <w:spacing w:line="360" w:lineRule="auto"/>
        <w:ind w:firstLineChars="187" w:firstLine="524"/>
        <w:rPr>
          <w:rFonts w:asciiTheme="minorEastAsia" w:eastAsiaTheme="minorEastAsia" w:hAnsiTheme="minorEastAsia"/>
          <w:sz w:val="28"/>
          <w:szCs w:val="28"/>
        </w:rPr>
      </w:pPr>
      <w:r w:rsidRPr="0099548E">
        <w:rPr>
          <w:rFonts w:asciiTheme="minorEastAsia" w:eastAsiaTheme="minorEastAsia" w:hAnsiTheme="minorEastAsia" w:hint="eastAsia"/>
          <w:sz w:val="28"/>
          <w:szCs w:val="28"/>
        </w:rPr>
        <w:t>第二条 所有在科研设备处注册为提高采收率研究院的设备，无论是什么经费来源，均为提高采收率研究院财产。关于仪器设备的管理制度适用于提高采收率研究院所有实验室仪器设备。</w:t>
      </w:r>
    </w:p>
    <w:p w:rsidR="0099548E" w:rsidRPr="0099548E" w:rsidRDefault="0099548E" w:rsidP="0099548E">
      <w:pPr>
        <w:spacing w:line="360" w:lineRule="auto"/>
        <w:ind w:firstLineChars="187" w:firstLine="524"/>
        <w:rPr>
          <w:rFonts w:asciiTheme="minorEastAsia" w:eastAsiaTheme="minorEastAsia" w:hAnsiTheme="minorEastAsia"/>
          <w:sz w:val="28"/>
          <w:szCs w:val="28"/>
        </w:rPr>
      </w:pPr>
      <w:r w:rsidRPr="0099548E">
        <w:rPr>
          <w:rFonts w:asciiTheme="minorEastAsia" w:eastAsiaTheme="minorEastAsia" w:hAnsiTheme="minorEastAsia" w:hint="eastAsia"/>
          <w:sz w:val="28"/>
          <w:szCs w:val="28"/>
        </w:rPr>
        <w:t>第三条提高采收率研究院的实验设备由实验室主任统一负责管理，每台仪器将指定具体的管理与使用人员，并力求人员稳定。管理人员出差时，应委托临时负责人管理仪器设备的正常运行；管理人员调离时，应安排新的管理人，交接手续完成后方可离开。</w:t>
      </w:r>
    </w:p>
    <w:p w:rsidR="0099548E" w:rsidRPr="0099548E" w:rsidRDefault="0099548E" w:rsidP="0099548E">
      <w:pPr>
        <w:spacing w:line="360" w:lineRule="auto"/>
        <w:ind w:firstLineChars="187" w:firstLine="524"/>
        <w:rPr>
          <w:rFonts w:asciiTheme="minorEastAsia" w:eastAsiaTheme="minorEastAsia" w:hAnsiTheme="minorEastAsia"/>
          <w:sz w:val="28"/>
          <w:szCs w:val="28"/>
        </w:rPr>
      </w:pPr>
      <w:r w:rsidRPr="0099548E">
        <w:rPr>
          <w:rFonts w:asciiTheme="minorEastAsia" w:eastAsiaTheme="minorEastAsia" w:hAnsiTheme="minorEastAsia" w:hint="eastAsia"/>
          <w:sz w:val="28"/>
          <w:szCs w:val="28"/>
        </w:rPr>
        <w:t>第四条 初次使用仪器设备，应先认真学习仪器技术使用说明书和安全操作规程，掌握仪器性能和正确的使用方法。对于精密、贵重仪器须经过实验室主任培训考核通过，方可使用。</w:t>
      </w:r>
    </w:p>
    <w:p w:rsidR="0099548E" w:rsidRPr="0099548E" w:rsidRDefault="0099548E" w:rsidP="0099548E">
      <w:pPr>
        <w:spacing w:line="360" w:lineRule="auto"/>
        <w:ind w:firstLineChars="187" w:firstLine="524"/>
        <w:rPr>
          <w:rFonts w:asciiTheme="minorEastAsia" w:eastAsiaTheme="minorEastAsia" w:hAnsiTheme="minorEastAsia"/>
          <w:sz w:val="28"/>
          <w:szCs w:val="28"/>
        </w:rPr>
      </w:pPr>
      <w:r w:rsidRPr="0099548E">
        <w:rPr>
          <w:rFonts w:asciiTheme="minorEastAsia" w:eastAsiaTheme="minorEastAsia" w:hAnsiTheme="minorEastAsia" w:hint="eastAsia"/>
          <w:sz w:val="28"/>
          <w:szCs w:val="28"/>
        </w:rPr>
        <w:t>第五条 使用精密仪器，应及时填写仪器使用纪录，使用过程中出现异常现象或故障，应及时处理，并载入使用纪录。</w:t>
      </w:r>
    </w:p>
    <w:p w:rsidR="0099548E" w:rsidRPr="0099548E" w:rsidRDefault="0099548E" w:rsidP="0099548E">
      <w:pPr>
        <w:spacing w:line="360" w:lineRule="auto"/>
        <w:ind w:firstLineChars="187" w:firstLine="524"/>
        <w:rPr>
          <w:rFonts w:asciiTheme="minorEastAsia" w:eastAsiaTheme="minorEastAsia" w:hAnsiTheme="minorEastAsia"/>
          <w:sz w:val="28"/>
          <w:szCs w:val="28"/>
        </w:rPr>
      </w:pPr>
      <w:r w:rsidRPr="0099548E">
        <w:rPr>
          <w:rFonts w:asciiTheme="minorEastAsia" w:eastAsiaTheme="minorEastAsia" w:hAnsiTheme="minorEastAsia" w:hint="eastAsia"/>
          <w:sz w:val="28"/>
          <w:szCs w:val="28"/>
        </w:rPr>
        <w:t>第六条 成套设备的部件不得拆卸、挪用，确有需要改动的，须事先经实验室主任同意。10万元以上的仪器设备需作较大改动时，</w:t>
      </w:r>
      <w:r w:rsidRPr="0099548E">
        <w:rPr>
          <w:rFonts w:asciiTheme="minorEastAsia" w:eastAsiaTheme="minorEastAsia" w:hAnsiTheme="minorEastAsia" w:hint="eastAsia"/>
          <w:sz w:val="28"/>
          <w:szCs w:val="28"/>
        </w:rPr>
        <w:lastRenderedPageBreak/>
        <w:t>须经提高采收率研究院院长同意并</w:t>
      </w:r>
      <w:proofErr w:type="gramStart"/>
      <w:r w:rsidRPr="0099548E">
        <w:rPr>
          <w:rFonts w:asciiTheme="minorEastAsia" w:eastAsiaTheme="minorEastAsia" w:hAnsiTheme="minorEastAsia" w:hint="eastAsia"/>
          <w:sz w:val="28"/>
          <w:szCs w:val="28"/>
        </w:rPr>
        <w:t>报校设备</w:t>
      </w:r>
      <w:proofErr w:type="gramEnd"/>
      <w:r w:rsidRPr="0099548E">
        <w:rPr>
          <w:rFonts w:asciiTheme="minorEastAsia" w:eastAsiaTheme="minorEastAsia" w:hAnsiTheme="minorEastAsia" w:hint="eastAsia"/>
          <w:sz w:val="28"/>
          <w:szCs w:val="28"/>
        </w:rPr>
        <w:t>处备案。</w:t>
      </w:r>
    </w:p>
    <w:p w:rsidR="0099548E" w:rsidRPr="0099548E" w:rsidRDefault="0099548E" w:rsidP="0099548E">
      <w:pPr>
        <w:spacing w:line="360" w:lineRule="auto"/>
        <w:ind w:firstLineChars="187" w:firstLine="524"/>
        <w:rPr>
          <w:rFonts w:asciiTheme="minorEastAsia" w:eastAsiaTheme="minorEastAsia" w:hAnsiTheme="minorEastAsia"/>
          <w:sz w:val="28"/>
          <w:szCs w:val="28"/>
        </w:rPr>
      </w:pPr>
      <w:r w:rsidRPr="0099548E">
        <w:rPr>
          <w:rFonts w:asciiTheme="minorEastAsia" w:eastAsiaTheme="minorEastAsia" w:hAnsiTheme="minorEastAsia" w:hint="eastAsia"/>
          <w:sz w:val="28"/>
          <w:szCs w:val="28"/>
        </w:rPr>
        <w:t>第七条 凡违反操作规程或保管不妥造成仪器设备损坏者，均属责任事故，按学校有关规定处理。</w:t>
      </w:r>
    </w:p>
    <w:p w:rsidR="0099548E" w:rsidRPr="0099548E" w:rsidRDefault="0099548E" w:rsidP="0099548E">
      <w:pPr>
        <w:spacing w:line="360" w:lineRule="auto"/>
        <w:ind w:firstLineChars="187" w:firstLine="524"/>
        <w:rPr>
          <w:rFonts w:asciiTheme="minorEastAsia" w:eastAsiaTheme="minorEastAsia" w:hAnsiTheme="minorEastAsia"/>
          <w:sz w:val="28"/>
          <w:szCs w:val="28"/>
        </w:rPr>
      </w:pPr>
      <w:r w:rsidRPr="0099548E">
        <w:rPr>
          <w:rFonts w:asciiTheme="minorEastAsia" w:eastAsiaTheme="minorEastAsia" w:hAnsiTheme="minorEastAsia" w:hint="eastAsia"/>
          <w:sz w:val="28"/>
          <w:szCs w:val="28"/>
        </w:rPr>
        <w:t>第九条 仪器设备对提高采收率研究院内外开放，为保证设备使用寿命，需要收取一定管理、运行费用。</w:t>
      </w:r>
    </w:p>
    <w:p w:rsidR="0099548E" w:rsidRPr="0099548E" w:rsidRDefault="0099548E" w:rsidP="0099548E">
      <w:pPr>
        <w:spacing w:line="360" w:lineRule="auto"/>
        <w:ind w:firstLineChars="187" w:firstLine="524"/>
        <w:rPr>
          <w:rFonts w:asciiTheme="minorEastAsia" w:eastAsiaTheme="minorEastAsia" w:hAnsiTheme="minorEastAsia"/>
          <w:sz w:val="28"/>
          <w:szCs w:val="28"/>
        </w:rPr>
      </w:pPr>
      <w:r w:rsidRPr="0099548E">
        <w:rPr>
          <w:rFonts w:asciiTheme="minorEastAsia" w:eastAsiaTheme="minorEastAsia" w:hAnsiTheme="minorEastAsia" w:hint="eastAsia"/>
          <w:sz w:val="28"/>
          <w:szCs w:val="28"/>
        </w:rPr>
        <w:t>第十条 使用上级拨款或以提高采收率研究院经费购置仪器设备，（如测试界面性能、流变性能及压制岩心等等）都必须由实验室主任统一管理，收入纳入实验室账户，用于仪器维护及大量材料购置、外聘人员工资。任何个人不能以提高采收率研究院设备进行营利性项目服务。</w:t>
      </w:r>
    </w:p>
    <w:p w:rsidR="0099548E" w:rsidRPr="0099548E" w:rsidRDefault="0099548E" w:rsidP="0099548E">
      <w:pPr>
        <w:spacing w:line="360" w:lineRule="auto"/>
        <w:ind w:firstLineChars="187" w:firstLine="524"/>
        <w:rPr>
          <w:rFonts w:asciiTheme="minorEastAsia" w:eastAsiaTheme="minorEastAsia" w:hAnsiTheme="minorEastAsia"/>
          <w:sz w:val="28"/>
          <w:szCs w:val="28"/>
        </w:rPr>
      </w:pPr>
      <w:r w:rsidRPr="0099548E">
        <w:rPr>
          <w:rFonts w:asciiTheme="minorEastAsia" w:eastAsiaTheme="minorEastAsia" w:hAnsiTheme="minorEastAsia" w:hint="eastAsia"/>
          <w:sz w:val="28"/>
          <w:szCs w:val="28"/>
        </w:rPr>
        <w:t>使用科研经费购置的仪器设备，收费标准由相应课题组提出，经实验室主任批准后执行；</w:t>
      </w:r>
    </w:p>
    <w:p w:rsidR="0099548E" w:rsidRDefault="0099548E" w:rsidP="0099548E">
      <w:pPr>
        <w:spacing w:line="360" w:lineRule="auto"/>
        <w:ind w:firstLineChars="187" w:firstLine="524"/>
        <w:rPr>
          <w:rFonts w:asciiTheme="minorEastAsia" w:eastAsiaTheme="minorEastAsia" w:hAnsiTheme="minorEastAsia"/>
          <w:sz w:val="28"/>
          <w:szCs w:val="28"/>
        </w:rPr>
      </w:pPr>
      <w:r w:rsidRPr="0099548E">
        <w:rPr>
          <w:rFonts w:asciiTheme="minorEastAsia" w:eastAsiaTheme="minorEastAsia" w:hAnsiTheme="minorEastAsia" w:hint="eastAsia"/>
          <w:sz w:val="28"/>
          <w:szCs w:val="28"/>
        </w:rPr>
        <w:t>上级拨款或以提高采收率研究院经费购置仪器设备的收费标准由提高采收率研究院核算成本后作为收费依据，并根据实际情况，每年进行一次调整。</w:t>
      </w:r>
    </w:p>
    <w:p w:rsidR="0099548E" w:rsidRDefault="0099548E" w:rsidP="0099548E">
      <w:pPr>
        <w:spacing w:line="360" w:lineRule="auto"/>
        <w:ind w:firstLineChars="187" w:firstLine="524"/>
        <w:rPr>
          <w:rFonts w:asciiTheme="minorEastAsia" w:eastAsiaTheme="minorEastAsia" w:hAnsiTheme="minorEastAsia"/>
          <w:sz w:val="28"/>
          <w:szCs w:val="28"/>
        </w:rPr>
      </w:pPr>
    </w:p>
    <w:p w:rsidR="0099548E" w:rsidRDefault="0099548E" w:rsidP="0099548E">
      <w:pPr>
        <w:spacing w:line="360" w:lineRule="auto"/>
        <w:ind w:firstLineChars="187" w:firstLine="524"/>
        <w:rPr>
          <w:rFonts w:asciiTheme="minorEastAsia" w:eastAsiaTheme="minorEastAsia" w:hAnsiTheme="minorEastAsia"/>
          <w:sz w:val="28"/>
          <w:szCs w:val="28"/>
        </w:rPr>
      </w:pPr>
    </w:p>
    <w:p w:rsidR="0099548E" w:rsidRDefault="0099548E" w:rsidP="0099548E">
      <w:pPr>
        <w:spacing w:line="360" w:lineRule="auto"/>
        <w:ind w:firstLineChars="187" w:firstLine="524"/>
        <w:rPr>
          <w:rFonts w:asciiTheme="minorEastAsia" w:eastAsiaTheme="minorEastAsia" w:hAnsiTheme="minorEastAsia"/>
          <w:sz w:val="28"/>
          <w:szCs w:val="28"/>
        </w:rPr>
      </w:pPr>
    </w:p>
    <w:p w:rsidR="0099548E" w:rsidRPr="0099548E" w:rsidRDefault="0099548E" w:rsidP="0099548E">
      <w:pPr>
        <w:spacing w:line="360" w:lineRule="auto"/>
        <w:ind w:firstLineChars="187" w:firstLine="524"/>
        <w:rPr>
          <w:rFonts w:asciiTheme="minorEastAsia" w:eastAsiaTheme="minorEastAsia" w:hAnsiTheme="minorEastAsia"/>
          <w:sz w:val="28"/>
          <w:szCs w:val="28"/>
        </w:rPr>
      </w:pPr>
    </w:p>
    <w:p w:rsidR="001E4332" w:rsidRPr="0099548E" w:rsidRDefault="008E31EA" w:rsidP="008E31EA">
      <w:pPr>
        <w:widowControl/>
        <w:snapToGrid w:val="0"/>
        <w:spacing w:line="360" w:lineRule="auto"/>
        <w:jc w:val="right"/>
        <w:rPr>
          <w:rFonts w:asciiTheme="minorEastAsia" w:eastAsiaTheme="minorEastAsia" w:hAnsiTheme="minorEastAsia"/>
          <w:kern w:val="0"/>
          <w:sz w:val="28"/>
          <w:szCs w:val="28"/>
        </w:rPr>
      </w:pPr>
      <w:r w:rsidRPr="0099548E">
        <w:rPr>
          <w:rFonts w:asciiTheme="minorEastAsia" w:eastAsiaTheme="minorEastAsia" w:hAnsiTheme="minorEastAsia" w:hint="eastAsia"/>
          <w:kern w:val="0"/>
          <w:sz w:val="28"/>
          <w:szCs w:val="28"/>
        </w:rPr>
        <w:t>中国石油大学（北京）非常规油气科学技术研究院</w:t>
      </w:r>
    </w:p>
    <w:tbl>
      <w:tblPr>
        <w:tblStyle w:val="a5"/>
        <w:tblW w:w="0" w:type="auto"/>
        <w:tblLook w:val="04A0" w:firstRow="1" w:lastRow="0" w:firstColumn="1" w:lastColumn="0" w:noHBand="0" w:noVBand="1"/>
      </w:tblPr>
      <w:tblGrid>
        <w:gridCol w:w="8522"/>
      </w:tblGrid>
      <w:tr w:rsidR="001E4332" w:rsidRPr="00AE2EC7" w:rsidTr="00E30AF2">
        <w:tc>
          <w:tcPr>
            <w:tcW w:w="8522" w:type="dxa"/>
            <w:tcBorders>
              <w:top w:val="single" w:sz="12" w:space="0" w:color="auto"/>
              <w:left w:val="nil"/>
              <w:right w:val="nil"/>
            </w:tcBorders>
            <w:vAlign w:val="center"/>
          </w:tcPr>
          <w:p w:rsidR="001E4332" w:rsidRPr="00AE2EC7" w:rsidRDefault="001E4332" w:rsidP="00E30AF2">
            <w:pPr>
              <w:rPr>
                <w:rFonts w:asciiTheme="minorEastAsia" w:eastAsiaTheme="minorEastAsia" w:hAnsiTheme="minorEastAsia"/>
                <w:sz w:val="24"/>
              </w:rPr>
            </w:pPr>
            <w:r w:rsidRPr="00AE2EC7">
              <w:rPr>
                <w:rFonts w:asciiTheme="minorEastAsia" w:eastAsiaTheme="minorEastAsia" w:hAnsiTheme="minorEastAsia" w:hint="eastAsia"/>
                <w:sz w:val="24"/>
              </w:rPr>
              <w:t>抄送：各研究所</w:t>
            </w:r>
          </w:p>
        </w:tc>
      </w:tr>
      <w:tr w:rsidR="001E4332" w:rsidRPr="0099548E" w:rsidTr="00E30AF2">
        <w:tc>
          <w:tcPr>
            <w:tcW w:w="8522" w:type="dxa"/>
            <w:tcBorders>
              <w:left w:val="nil"/>
              <w:bottom w:val="single" w:sz="12" w:space="0" w:color="auto"/>
              <w:right w:val="nil"/>
            </w:tcBorders>
            <w:vAlign w:val="center"/>
          </w:tcPr>
          <w:p w:rsidR="001E4332" w:rsidRPr="00AE2EC7" w:rsidRDefault="001E4332" w:rsidP="00E30AF2">
            <w:pPr>
              <w:rPr>
                <w:rFonts w:asciiTheme="minorEastAsia" w:eastAsiaTheme="minorEastAsia" w:hAnsiTheme="minorEastAsia"/>
                <w:sz w:val="24"/>
              </w:rPr>
            </w:pPr>
            <w:r w:rsidRPr="00AE2EC7">
              <w:rPr>
                <w:rFonts w:asciiTheme="minorEastAsia" w:eastAsiaTheme="minorEastAsia" w:hAnsiTheme="minorEastAsia" w:hint="eastAsia"/>
                <w:sz w:val="24"/>
              </w:rPr>
              <w:t>非常规油气科学技术研究院办公室                  2019年</w:t>
            </w:r>
            <w:r w:rsidR="0099548E">
              <w:rPr>
                <w:rFonts w:asciiTheme="minorEastAsia" w:eastAsiaTheme="minorEastAsia" w:hAnsiTheme="minorEastAsia" w:hint="eastAsia"/>
                <w:sz w:val="24"/>
              </w:rPr>
              <w:t>4</w:t>
            </w:r>
            <w:r w:rsidRPr="00AE2EC7">
              <w:rPr>
                <w:rFonts w:asciiTheme="minorEastAsia" w:eastAsiaTheme="minorEastAsia" w:hAnsiTheme="minorEastAsia" w:hint="eastAsia"/>
                <w:sz w:val="24"/>
              </w:rPr>
              <w:t>月</w:t>
            </w:r>
            <w:r w:rsidR="007620CC">
              <w:rPr>
                <w:rFonts w:asciiTheme="minorEastAsia" w:eastAsiaTheme="minorEastAsia" w:hAnsiTheme="minorEastAsia" w:hint="eastAsia"/>
                <w:sz w:val="24"/>
              </w:rPr>
              <w:t>4</w:t>
            </w:r>
            <w:r w:rsidRPr="00AE2EC7">
              <w:rPr>
                <w:rFonts w:asciiTheme="minorEastAsia" w:eastAsiaTheme="minorEastAsia" w:hAnsiTheme="minorEastAsia" w:hint="eastAsia"/>
                <w:sz w:val="24"/>
              </w:rPr>
              <w:t>日印发</w:t>
            </w:r>
          </w:p>
        </w:tc>
      </w:tr>
    </w:tbl>
    <w:p w:rsidR="00987CCB" w:rsidRPr="007620CC" w:rsidRDefault="00987CCB" w:rsidP="008E31EA"/>
    <w:sectPr w:rsidR="00987CCB" w:rsidRPr="007620C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844" w:rsidRDefault="007D5844" w:rsidP="005C1D87">
      <w:r>
        <w:separator/>
      </w:r>
    </w:p>
  </w:endnote>
  <w:endnote w:type="continuationSeparator" w:id="0">
    <w:p w:rsidR="007D5844" w:rsidRDefault="007D5844" w:rsidP="005C1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039908"/>
      <w:docPartObj>
        <w:docPartGallery w:val="Page Numbers (Bottom of Page)"/>
        <w:docPartUnique/>
      </w:docPartObj>
    </w:sdtPr>
    <w:sdtEndPr/>
    <w:sdtContent>
      <w:p w:rsidR="0025609C" w:rsidRDefault="0025609C">
        <w:pPr>
          <w:pStyle w:val="a4"/>
          <w:jc w:val="center"/>
        </w:pPr>
        <w:r>
          <w:fldChar w:fldCharType="begin"/>
        </w:r>
        <w:r>
          <w:instrText>PAGE   \* MERGEFORMAT</w:instrText>
        </w:r>
        <w:r>
          <w:fldChar w:fldCharType="separate"/>
        </w:r>
        <w:r w:rsidR="00A92DE5" w:rsidRPr="00A92DE5">
          <w:rPr>
            <w:noProof/>
            <w:lang w:val="zh-CN"/>
          </w:rPr>
          <w:t>1</w:t>
        </w:r>
        <w:r>
          <w:fldChar w:fldCharType="end"/>
        </w:r>
      </w:p>
    </w:sdtContent>
  </w:sdt>
  <w:p w:rsidR="0025609C" w:rsidRDefault="0025609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844" w:rsidRDefault="007D5844" w:rsidP="005C1D87">
      <w:r>
        <w:separator/>
      </w:r>
    </w:p>
  </w:footnote>
  <w:footnote w:type="continuationSeparator" w:id="0">
    <w:p w:rsidR="007D5844" w:rsidRDefault="007D5844" w:rsidP="005C1D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018"/>
    <w:rsid w:val="00022D64"/>
    <w:rsid w:val="00033CB0"/>
    <w:rsid w:val="001247FF"/>
    <w:rsid w:val="001C7B43"/>
    <w:rsid w:val="001E4332"/>
    <w:rsid w:val="0025609C"/>
    <w:rsid w:val="003013CC"/>
    <w:rsid w:val="004A73C9"/>
    <w:rsid w:val="005203CD"/>
    <w:rsid w:val="005C0599"/>
    <w:rsid w:val="005C1D87"/>
    <w:rsid w:val="0073616D"/>
    <w:rsid w:val="007620CC"/>
    <w:rsid w:val="007D5844"/>
    <w:rsid w:val="0082312D"/>
    <w:rsid w:val="00876018"/>
    <w:rsid w:val="008E31EA"/>
    <w:rsid w:val="00987CCB"/>
    <w:rsid w:val="0099548E"/>
    <w:rsid w:val="00A152B2"/>
    <w:rsid w:val="00A765BF"/>
    <w:rsid w:val="00A92DE5"/>
    <w:rsid w:val="00B655DA"/>
    <w:rsid w:val="00CB2467"/>
    <w:rsid w:val="00D33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01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C1D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C1D87"/>
    <w:rPr>
      <w:rFonts w:ascii="Times New Roman" w:eastAsia="宋体" w:hAnsi="Times New Roman" w:cs="Times New Roman"/>
      <w:sz w:val="18"/>
      <w:szCs w:val="18"/>
    </w:rPr>
  </w:style>
  <w:style w:type="paragraph" w:styleId="a4">
    <w:name w:val="footer"/>
    <w:basedOn w:val="a"/>
    <w:link w:val="Char0"/>
    <w:uiPriority w:val="99"/>
    <w:unhideWhenUsed/>
    <w:rsid w:val="005C1D87"/>
    <w:pPr>
      <w:tabs>
        <w:tab w:val="center" w:pos="4153"/>
        <w:tab w:val="right" w:pos="8306"/>
      </w:tabs>
      <w:snapToGrid w:val="0"/>
      <w:jc w:val="left"/>
    </w:pPr>
    <w:rPr>
      <w:sz w:val="18"/>
      <w:szCs w:val="18"/>
    </w:rPr>
  </w:style>
  <w:style w:type="character" w:customStyle="1" w:styleId="Char0">
    <w:name w:val="页脚 Char"/>
    <w:basedOn w:val="a0"/>
    <w:link w:val="a4"/>
    <w:uiPriority w:val="99"/>
    <w:rsid w:val="005C1D87"/>
    <w:rPr>
      <w:rFonts w:ascii="Times New Roman" w:eastAsia="宋体" w:hAnsi="Times New Roman" w:cs="Times New Roman"/>
      <w:sz w:val="18"/>
      <w:szCs w:val="18"/>
    </w:rPr>
  </w:style>
  <w:style w:type="table" w:styleId="a5">
    <w:name w:val="Table Grid"/>
    <w:basedOn w:val="a1"/>
    <w:uiPriority w:val="59"/>
    <w:rsid w:val="001E43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Char1"/>
    <w:rsid w:val="0099548E"/>
    <w:pPr>
      <w:ind w:firstLineChars="200" w:firstLine="420"/>
    </w:pPr>
  </w:style>
  <w:style w:type="character" w:customStyle="1" w:styleId="Char1">
    <w:name w:val="正文文本缩进 Char"/>
    <w:basedOn w:val="a0"/>
    <w:link w:val="a6"/>
    <w:rsid w:val="0099548E"/>
    <w:rPr>
      <w:rFonts w:ascii="Times New Roman" w:eastAsia="宋体" w:hAnsi="Times New Roman" w:cs="Times New Roman"/>
      <w:szCs w:val="24"/>
    </w:rPr>
  </w:style>
  <w:style w:type="paragraph" w:styleId="a7">
    <w:name w:val="Balloon Text"/>
    <w:basedOn w:val="a"/>
    <w:link w:val="Char2"/>
    <w:uiPriority w:val="99"/>
    <w:semiHidden/>
    <w:unhideWhenUsed/>
    <w:rsid w:val="007620CC"/>
    <w:rPr>
      <w:sz w:val="18"/>
      <w:szCs w:val="18"/>
    </w:rPr>
  </w:style>
  <w:style w:type="character" w:customStyle="1" w:styleId="Char2">
    <w:name w:val="批注框文本 Char"/>
    <w:basedOn w:val="a0"/>
    <w:link w:val="a7"/>
    <w:uiPriority w:val="99"/>
    <w:semiHidden/>
    <w:rsid w:val="007620CC"/>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01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C1D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C1D87"/>
    <w:rPr>
      <w:rFonts w:ascii="Times New Roman" w:eastAsia="宋体" w:hAnsi="Times New Roman" w:cs="Times New Roman"/>
      <w:sz w:val="18"/>
      <w:szCs w:val="18"/>
    </w:rPr>
  </w:style>
  <w:style w:type="paragraph" w:styleId="a4">
    <w:name w:val="footer"/>
    <w:basedOn w:val="a"/>
    <w:link w:val="Char0"/>
    <w:uiPriority w:val="99"/>
    <w:unhideWhenUsed/>
    <w:rsid w:val="005C1D87"/>
    <w:pPr>
      <w:tabs>
        <w:tab w:val="center" w:pos="4153"/>
        <w:tab w:val="right" w:pos="8306"/>
      </w:tabs>
      <w:snapToGrid w:val="0"/>
      <w:jc w:val="left"/>
    </w:pPr>
    <w:rPr>
      <w:sz w:val="18"/>
      <w:szCs w:val="18"/>
    </w:rPr>
  </w:style>
  <w:style w:type="character" w:customStyle="1" w:styleId="Char0">
    <w:name w:val="页脚 Char"/>
    <w:basedOn w:val="a0"/>
    <w:link w:val="a4"/>
    <w:uiPriority w:val="99"/>
    <w:rsid w:val="005C1D87"/>
    <w:rPr>
      <w:rFonts w:ascii="Times New Roman" w:eastAsia="宋体" w:hAnsi="Times New Roman" w:cs="Times New Roman"/>
      <w:sz w:val="18"/>
      <w:szCs w:val="18"/>
    </w:rPr>
  </w:style>
  <w:style w:type="table" w:styleId="a5">
    <w:name w:val="Table Grid"/>
    <w:basedOn w:val="a1"/>
    <w:uiPriority w:val="59"/>
    <w:rsid w:val="001E43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Char1"/>
    <w:rsid w:val="0099548E"/>
    <w:pPr>
      <w:ind w:firstLineChars="200" w:firstLine="420"/>
    </w:pPr>
  </w:style>
  <w:style w:type="character" w:customStyle="1" w:styleId="Char1">
    <w:name w:val="正文文本缩进 Char"/>
    <w:basedOn w:val="a0"/>
    <w:link w:val="a6"/>
    <w:rsid w:val="0099548E"/>
    <w:rPr>
      <w:rFonts w:ascii="Times New Roman" w:eastAsia="宋体" w:hAnsi="Times New Roman" w:cs="Times New Roman"/>
      <w:szCs w:val="24"/>
    </w:rPr>
  </w:style>
  <w:style w:type="paragraph" w:styleId="a7">
    <w:name w:val="Balloon Text"/>
    <w:basedOn w:val="a"/>
    <w:link w:val="Char2"/>
    <w:uiPriority w:val="99"/>
    <w:semiHidden/>
    <w:unhideWhenUsed/>
    <w:rsid w:val="007620CC"/>
    <w:rPr>
      <w:sz w:val="18"/>
      <w:szCs w:val="18"/>
    </w:rPr>
  </w:style>
  <w:style w:type="character" w:customStyle="1" w:styleId="Char2">
    <w:name w:val="批注框文本 Char"/>
    <w:basedOn w:val="a0"/>
    <w:link w:val="a7"/>
    <w:uiPriority w:val="99"/>
    <w:semiHidden/>
    <w:rsid w:val="007620C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05028">
      <w:bodyDiv w:val="1"/>
      <w:marLeft w:val="0"/>
      <w:marRight w:val="0"/>
      <w:marTop w:val="0"/>
      <w:marBottom w:val="0"/>
      <w:divBdr>
        <w:top w:val="none" w:sz="0" w:space="0" w:color="auto"/>
        <w:left w:val="none" w:sz="0" w:space="0" w:color="auto"/>
        <w:bottom w:val="none" w:sz="0" w:space="0" w:color="auto"/>
        <w:right w:val="none" w:sz="0" w:space="0" w:color="auto"/>
      </w:divBdr>
    </w:div>
    <w:div w:id="32559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136</Words>
  <Characters>781</Characters>
  <Application>Microsoft Office Word</Application>
  <DocSecurity>0</DocSecurity>
  <Lines>6</Lines>
  <Paragraphs>1</Paragraphs>
  <ScaleCrop>false</ScaleCrop>
  <Company/>
  <LinksUpToDate>false</LinksUpToDate>
  <CharactersWithSpaces>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Dell</cp:lastModifiedBy>
  <cp:revision>9</cp:revision>
  <cp:lastPrinted>2019-07-01T11:38:00Z</cp:lastPrinted>
  <dcterms:created xsi:type="dcterms:W3CDTF">2019-07-01T09:57:00Z</dcterms:created>
  <dcterms:modified xsi:type="dcterms:W3CDTF">2020-01-03T08:54:00Z</dcterms:modified>
</cp:coreProperties>
</file>